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Załącznik nr 3 do SWZ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</w:rPr>
        <w:t>Szczegółowy opis minimalnych parametrów technicznych</w:t>
      </w:r>
    </w:p>
    <w:p>
      <w:pPr>
        <w:pStyle w:val="Normal"/>
        <w:rPr>
          <w:rFonts w:ascii="Arial" w:hAnsi="Arial" w:cs="Arial"/>
          <w:b/>
          <w:bCs/>
          <w:i/>
          <w:sz w:val="16"/>
          <w:szCs w:val="16"/>
        </w:rPr>
      </w:pPr>
      <w:r>
        <w:rPr>
          <w:rFonts w:cs="Arial" w:ascii="Arial" w:hAnsi="Arial"/>
          <w:b/>
          <w:bCs/>
          <w:i/>
          <w:sz w:val="16"/>
          <w:szCs w:val="16"/>
        </w:rPr>
      </w:r>
    </w:p>
    <w:tbl>
      <w:tblPr>
        <w:tblW w:w="11958" w:type="dxa"/>
        <w:jc w:val="left"/>
        <w:tblInd w:w="-274" w:type="dxa"/>
        <w:tblLayout w:type="fixed"/>
        <w:tblCellMar>
          <w:top w:w="0" w:type="dxa"/>
          <w:left w:w="65" w:type="dxa"/>
          <w:bottom w:w="0" w:type="dxa"/>
          <w:right w:w="70" w:type="dxa"/>
        </w:tblCellMar>
      </w:tblPr>
      <w:tblGrid>
        <w:gridCol w:w="705"/>
        <w:gridCol w:w="7290"/>
        <w:gridCol w:w="2555"/>
        <w:gridCol w:w="592"/>
        <w:gridCol w:w="816"/>
      </w:tblGrid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Cs/>
                <w:strike w:val="false"/>
                <w:dstrike w:val="false"/>
                <w:color w:val="00000A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trike w:val="false"/>
                <w:dstrike w:val="false"/>
                <w:color w:val="00000A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Cs/>
                <w:strike w:val="false"/>
                <w:dstrike w:val="false"/>
                <w:color w:val="00000A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trike w:val="false"/>
                <w:dstrike w:val="false"/>
                <w:color w:val="00000A"/>
                <w:sz w:val="20"/>
                <w:szCs w:val="20"/>
              </w:rPr>
              <w:t>Samochód typu van – karawan z zabudową specjalną</w:t>
            </w:r>
          </w:p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b/>
                <w:bCs/>
                <w:strike w:val="false"/>
                <w:dstrike w:val="false"/>
                <w:color w:val="00000A"/>
                <w:sz w:val="20"/>
                <w:szCs w:val="20"/>
              </w:rPr>
              <w:t>pojazd fabrycznie nowy rok produkcji nie wcześniej niż w 2025r.</w:t>
            </w:r>
          </w:p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b/>
                <w:bCs/>
                <w:strike w:val="false"/>
                <w:dstrike w:val="false"/>
                <w:color w:val="00000A"/>
                <w:sz w:val="20"/>
                <w:szCs w:val="20"/>
              </w:rPr>
              <w:t>z</w:t>
            </w:r>
            <w:r>
              <w:rPr>
                <w:rFonts w:cs="Arial" w:ascii="Arial" w:hAnsi="Arial"/>
                <w:b/>
                <w:bCs/>
                <w:strike w:val="false"/>
                <w:dstrike w:val="false"/>
                <w:color w:val="00000A"/>
                <w:sz w:val="20"/>
                <w:szCs w:val="20"/>
              </w:rPr>
              <w:t xml:space="preserve"> homologacją fabryczną, posiadający po zabudowie</w:t>
            </w:r>
          </w:p>
          <w:p>
            <w:pPr>
              <w:pStyle w:val="Normal"/>
              <w:jc w:val="center"/>
              <w:rPr/>
            </w:pPr>
            <w:r>
              <w:rPr>
                <w:rFonts w:cs="Arial" w:ascii="Arial" w:hAnsi="Arial"/>
                <w:b/>
                <w:bCs/>
                <w:strike w:val="false"/>
                <w:dstrike w:val="false"/>
                <w:color w:val="00000A"/>
                <w:sz w:val="20"/>
                <w:szCs w:val="20"/>
              </w:rPr>
              <w:t>homologację dla pojazdów specjalnych pogrzebowych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Cs/>
                <w:strike w:val="false"/>
                <w:dstrike w:val="false"/>
                <w:color w:val="00000A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trike w:val="false"/>
                <w:dstrike w:val="false"/>
                <w:color w:val="00000A"/>
                <w:sz w:val="20"/>
                <w:szCs w:val="20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  <w:t>Proszę podać czy produkt spełnia  minimalne parametry techniczne tak/nie</w:t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br/>
              <w:t xml:space="preserve">silnik wysokoprężny </w:t>
            </w:r>
            <w:r>
              <w:rPr>
                <w:rFonts w:cs="Arial"/>
                <w:color w:val="00000A"/>
                <w:sz w:val="24"/>
                <w:szCs w:val="24"/>
              </w:rPr>
              <w:t xml:space="preserve">o mocy min. 135 KM </w:t>
            </w:r>
            <w:r>
              <w:rPr>
                <w:rFonts w:cs="Arial"/>
                <w:color w:val="000000"/>
                <w:sz w:val="24"/>
                <w:szCs w:val="24"/>
              </w:rPr>
              <w:br/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pojemność silnika min. 1900 cm3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silnik spełniający normę emisji spalin min. EURO 6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4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automatyczna skrzynia biegów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wersja 5 osobowa (w tym 3 miejsca w pierwszym rzędzie)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snapToGrid w:val="false"/>
              <w:spacing w:lineRule="auto" w:line="288"/>
              <w:jc w:val="left"/>
              <w:rPr>
                <w:rFonts w:ascii="Times New Roman" w:hAnsi="Times New Roman" w:eastAsia="Batang;바탕" w:cs="Arial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eastAsia="Batang;바탕" w:cs="Arial"/>
                <w:b w:val="false"/>
                <w:bCs w:val="false"/>
                <w:color w:val="000000"/>
                <w:sz w:val="24"/>
                <w:szCs w:val="24"/>
              </w:rPr>
            </w:r>
          </w:p>
          <w:p>
            <w:pPr>
              <w:pStyle w:val="Normal"/>
              <w:bidi w:val="0"/>
              <w:snapToGrid w:val="false"/>
              <w:spacing w:lineRule="auto" w:line="28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Batang;바탕" w:cs="Arial"/>
                <w:b w:val="false"/>
                <w:bCs w:val="false"/>
                <w:color w:val="000000"/>
                <w:sz w:val="24"/>
                <w:szCs w:val="24"/>
              </w:rPr>
              <w:t>przestrzeń ładunkowa przeszklona dwustronnie</w:t>
            </w:r>
          </w:p>
          <w:p>
            <w:pPr>
              <w:pStyle w:val="Normal"/>
              <w:bidi w:val="0"/>
              <w:snapToGrid w:val="false"/>
              <w:spacing w:lineRule="auto" w:line="288"/>
              <w:jc w:val="left"/>
              <w:rPr>
                <w:rFonts w:eastAsia="Batang;바탕" w:cs="Arial"/>
                <w:b w:val="false"/>
                <w:bCs w:val="false"/>
                <w:color w:val="000000"/>
              </w:rPr>
            </w:pPr>
            <w:r>
              <w:rPr>
                <w:rFonts w:eastAsia="Batang;바탕" w:cs="Arial"/>
                <w:b w:val="false"/>
                <w:bCs w:val="false"/>
                <w:color w:val="000000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70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klapa tylna podnoszona do góry</w:t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565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8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odsuwane drzwi boczne po prawej i lewej stronie</w:t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przyciemnione szyby z tyłu, w kolorze czarnym</w:t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kolor czarny metalizowany</w:t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uppressAutoHyphens w:val="true"/>
              <w:bidi w:val="0"/>
              <w:snapToGrid w:val="false"/>
              <w:spacing w:lineRule="auto" w:line="288"/>
              <w:jc w:val="left"/>
              <w:rPr>
                <w:rFonts w:eastAsia="Batang;바탕"/>
                <w:b w:val="false"/>
                <w:bCs w:val="false"/>
              </w:rPr>
            </w:pPr>
            <w:r>
              <w:rPr>
                <w:rFonts w:eastAsia="Batang;바탕"/>
                <w:b w:val="false"/>
                <w:bCs w:val="false"/>
              </w:rPr>
            </w:r>
          </w:p>
          <w:p>
            <w:pPr>
              <w:pStyle w:val="Normal"/>
              <w:suppressAutoHyphens w:val="true"/>
              <w:bidi w:val="0"/>
              <w:snapToGrid w:val="false"/>
              <w:spacing w:lineRule="auto" w:line="288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eastAsia="Batang;바탕" w:cs="Arial"/>
                <w:b w:val="false"/>
                <w:bCs w:val="false"/>
                <w:color w:val="000000"/>
                <w:sz w:val="24"/>
                <w:szCs w:val="24"/>
              </w:rPr>
              <w:t>klimatyzacja</w:t>
            </w:r>
          </w:p>
          <w:p>
            <w:pPr>
              <w:pStyle w:val="Normal"/>
              <w:suppressAutoHyphens w:val="true"/>
              <w:bidi w:val="0"/>
              <w:snapToGrid w:val="false"/>
              <w:spacing w:lineRule="auto" w:line="288"/>
              <w:jc w:val="left"/>
              <w:rPr>
                <w:rFonts w:eastAsia="Batang;바탕"/>
                <w:b w:val="false"/>
                <w:bCs w:val="false"/>
              </w:rPr>
            </w:pPr>
            <w:r>
              <w:rPr>
                <w:rFonts w:eastAsia="Batang;바탕"/>
                <w:b w:val="false"/>
                <w:bCs w:val="false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kamera cofania</w:t>
            </w:r>
          </w:p>
          <w:p>
            <w:pPr>
              <w:pStyle w:val="Normal"/>
              <w:suppressAutoHyphens w:val="true"/>
              <w:bidi w:val="0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radio fabryczne</w:t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centralny zamek</w:t>
            </w:r>
          </w:p>
          <w:p>
            <w:pPr>
              <w:pStyle w:val="Normal"/>
              <w:suppressAutoHyphens w:val="true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>
                <w:rFonts w:cs="Arial"/>
                <w:color w:val="00000A"/>
              </w:rPr>
            </w:pPr>
            <w:r>
              <w:rPr>
                <w:rFonts w:cs="Arial"/>
                <w:color w:val="00000A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elektryczny hamulec postojowy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strike w:val="false"/>
                <w:dstrike w:val="false"/>
                <w:color w:val="00000A"/>
                <w:sz w:val="24"/>
                <w:szCs w:val="24"/>
              </w:rPr>
              <w:t>koło zapasowe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MT" w:cs="Arial"/>
                <w:b w:val="false"/>
                <w:bCs w:val="false"/>
                <w:color w:val="00000A"/>
                <w:sz w:val="24"/>
                <w:szCs w:val="24"/>
              </w:rPr>
              <w:t>układ kontroli ciśnienia w oponach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 w:eastAsia="Arial" w:cs="Arial"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ArialMT" w:cs="Arial"/>
                <w:strike w:val="false"/>
                <w:dstrike w:val="false"/>
                <w:color w:val="000000"/>
                <w:sz w:val="24"/>
                <w:szCs w:val="24"/>
              </w:rPr>
              <w:t>tempomat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19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relingi dachowe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  <w:t>20</w:t>
            </w:r>
          </w:p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bidi w:val="0"/>
              <w:snapToGrid w:val="false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  <w:p>
            <w:pPr>
              <w:pStyle w:val="Normal"/>
              <w:bidi w:val="0"/>
              <w:snapToGrid w:val="false"/>
              <w:spacing w:lineRule="auto" w:line="28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Batang;바탕" w:cs="Arial"/>
                <w:color w:val="000000"/>
                <w:sz w:val="24"/>
                <w:szCs w:val="24"/>
              </w:rPr>
              <w:t>długość pojazdu min. 5300 mm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/>
                <w:color w:val="000000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eastAsia="ArialMT" w:cs="Arial"/>
                <w:color w:val="000000"/>
                <w:sz w:val="24"/>
                <w:szCs w:val="24"/>
              </w:rPr>
            </w:pPr>
            <w:r>
              <w:rPr>
                <w:rFonts w:eastAsia="ArialMT" w:cs="Arial"/>
                <w:color w:val="000000"/>
                <w:sz w:val="24"/>
                <w:szCs w:val="24"/>
              </w:rPr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eastAsia="Calibri"/>
                <w:b/>
                <w:kern w:val="0"/>
                <w:lang w:val="pl-PL" w:eastAsia="en-US" w:bidi="ar-SA"/>
              </w:rPr>
            </w:pPr>
            <w:r>
              <w:rPr>
                <w:rFonts w:eastAsia="Calibri"/>
                <w:b/>
                <w:kern w:val="0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/>
                <w:b/>
                <w:kern w:val="0"/>
                <w:sz w:val="24"/>
                <w:szCs w:val="24"/>
                <w:lang w:val="pl-PL" w:eastAsia="en-US" w:bidi="ar-SA"/>
              </w:rPr>
              <w:t>Zabudowa funeralna do przewozu trumny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eastAsia="Calibri" w:cs="Arial"/>
                <w:b/>
                <w:kern w:val="0"/>
                <w:sz w:val="20"/>
                <w:szCs w:val="18"/>
                <w:lang w:val="pl-PL" w:eastAsia="en-US" w:bidi="ar-SA"/>
              </w:rPr>
            </w:pPr>
            <w:r>
              <w:rPr>
                <w:rFonts w:eastAsia="Calibri" w:cs="Arial"/>
                <w:b/>
                <w:kern w:val="0"/>
                <w:sz w:val="20"/>
                <w:szCs w:val="18"/>
                <w:lang w:val="pl-PL" w:eastAsia="en-US" w:bidi="ar-SA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eastAsia="Calibri" w:cs="Arial"/>
                <w:b w:val="false"/>
                <w:bCs w:val="false"/>
                <w:kern w:val="0"/>
                <w:sz w:val="20"/>
                <w:szCs w:val="18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1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pl-PL" w:eastAsia="en-US" w:bidi="ar-SA"/>
              </w:rPr>
              <w:t xml:space="preserve">wnętrze </w:t>
            </w:r>
            <w:r>
              <w:rPr>
                <w:rFonts w:eastAsia="Calibri" w:cs="Times New Roman"/>
                <w:kern w:val="0"/>
                <w:sz w:val="24"/>
                <w:szCs w:val="24"/>
                <w:lang w:val="pl-PL" w:eastAsia="en-US" w:bidi="ar-SA"/>
              </w:rPr>
              <w:t>zabudowy funeralnej</w:t>
            </w:r>
            <w:r>
              <w:rPr>
                <w:rFonts w:eastAsia="Calibri" w:cs="Times New Roman"/>
                <w:kern w:val="0"/>
                <w:sz w:val="24"/>
                <w:szCs w:val="24"/>
                <w:lang w:val="pl-PL" w:eastAsia="en-US" w:bidi="ar-SA"/>
              </w:rPr>
              <w:t xml:space="preserve"> wykonane ze stali nierdzewnej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eastAsia="Calibri" w:cs="Arial"/>
                <w:b w:val="false"/>
                <w:bCs w:val="false"/>
                <w:kern w:val="0"/>
                <w:sz w:val="20"/>
                <w:szCs w:val="18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2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33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33"/>
              <w:jc w:val="left"/>
              <w:rPr>
                <w:rFonts w:ascii="Arial" w:hAnsi="Arial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pl-PL" w:eastAsia="en-US" w:bidi="ar-SA"/>
              </w:rPr>
              <w:t>wózek na trumnę, wysuwany poza gabaryt samochodu, pokryty stalą nierdzewną z tacą przesuwną i blokadą trumny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hanging="33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eastAsia="Calibri" w:cs="Arial"/>
                <w:b w:val="false"/>
                <w:bCs w:val="false"/>
                <w:kern w:val="0"/>
                <w:sz w:val="20"/>
                <w:szCs w:val="18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3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sz w:val="24"/>
                <w:szCs w:val="24"/>
                <w:lang w:eastAsia="zh-CN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pl-PL" w:eastAsia="en-US" w:bidi="ar-SA"/>
              </w:rPr>
              <w:t>blokada trumny podczas transportu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sz w:val="24"/>
                <w:szCs w:val="24"/>
                <w:lang w:eastAsia="zh-CN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eastAsia="Calibri" w:cs="Arial"/>
                <w:b w:val="false"/>
                <w:bCs w:val="false"/>
                <w:kern w:val="0"/>
                <w:sz w:val="20"/>
                <w:szCs w:val="18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4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sz w:val="24"/>
                <w:szCs w:val="24"/>
                <w:lang w:eastAsia="zh-CN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pl-PL" w:eastAsia="zh-CN" w:bidi="ar-SA"/>
              </w:rPr>
              <w:t>oświetlenie wewnętrzne led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sz w:val="24"/>
                <w:szCs w:val="24"/>
                <w:lang w:eastAsia="zh-CN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eastAsia="Calibri" w:cs="Arial"/>
                <w:b w:val="false"/>
                <w:bCs w:val="false"/>
                <w:kern w:val="0"/>
                <w:sz w:val="20"/>
                <w:szCs w:val="18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5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sz w:val="24"/>
                <w:szCs w:val="24"/>
                <w:lang w:eastAsia="zh-CN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pl-PL" w:eastAsia="zh-CN" w:bidi="ar-SA"/>
              </w:rPr>
              <w:t>podłoga w części przeznaczonej na umieszczenie trumny lub pojemnika na zwłoki albo szczątki ludzkie wykonana ze stali nierdzewnej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sz w:val="24"/>
                <w:szCs w:val="24"/>
                <w:lang w:eastAsia="zh-CN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eastAsia="Calibri" w:cs="Arial"/>
                <w:b w:val="false"/>
                <w:bCs w:val="false"/>
                <w:kern w:val="0"/>
                <w:sz w:val="20"/>
                <w:szCs w:val="18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6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sz w:val="24"/>
                <w:szCs w:val="24"/>
                <w:lang w:eastAsia="zh-CN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Arial" w:hAnsi="Arial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pl-PL" w:eastAsia="zh-CN" w:bidi="ar-SA"/>
              </w:rPr>
              <w:t>atest higieniczny oraz homologacje typu w kategorii N1 – samochody specjalne pogrzebowe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  <w:lang w:eastAsia="zh-CN"/>
              </w:rPr>
            </w:pPr>
            <w:r>
              <w:rPr>
                <w:rFonts w:eastAsia="Calibri" w:cs="Times New Roman"/>
                <w:sz w:val="24"/>
                <w:szCs w:val="24"/>
                <w:lang w:eastAsia="zh-CN"/>
              </w:rPr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eastAsia="Calibri" w:cs="Arial"/>
                <w:b w:val="false"/>
                <w:bCs w:val="false"/>
                <w:kern w:val="0"/>
                <w:sz w:val="20"/>
                <w:szCs w:val="18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7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pl-PL" w:eastAsia="zh-CN" w:bidi="ar-SA"/>
              </w:rPr>
              <w:t>spełnia warunki sanitarne określone w wytycznych Ministerstwa Zdrowia i Opieki Społecznej (ZPO-44323-7/94) oraz Rozporządzenia Ministra Zdrowia z dnia 27 grudnia 2007r. w sprawie wydawania pozwoleń                           i zaświadczeń na przewóz zwłok i szczątków ludzkich( Dz.U. z 2007r.               Nr 249, poz.1866)</w:t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306" w:leader="none"/>
              </w:tabs>
              <w:jc w:val="center"/>
              <w:rPr>
                <w:rFonts w:cs="Garamond"/>
                <w:b/>
              </w:rPr>
            </w:pPr>
            <w:r>
              <w:rPr>
                <w:rFonts w:cs="Garamond"/>
                <w:b/>
              </w:rPr>
            </w:r>
          </w:p>
          <w:p>
            <w:pPr>
              <w:pStyle w:val="Normal"/>
              <w:tabs>
                <w:tab w:val="clear" w:pos="708"/>
                <w:tab w:val="left" w:pos="1306" w:leader="none"/>
              </w:tabs>
              <w:jc w:val="center"/>
              <w:rPr>
                <w:rFonts w:ascii="Times New Roman" w:hAnsi="Times New Roman"/>
                <w:color w:val="auto"/>
                <w:sz w:val="24"/>
                <w:szCs w:val="24"/>
                <w:u w:val="single"/>
              </w:rPr>
            </w:pPr>
            <w:r>
              <w:rPr>
                <w:rFonts w:cs="Garamond"/>
                <w:b/>
                <w:color w:val="auto"/>
                <w:sz w:val="24"/>
                <w:szCs w:val="24"/>
                <w:u w:val="single"/>
              </w:rPr>
              <w:t>Wymagania gwarancyjne</w:t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1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306" w:leader="none"/>
              </w:tabs>
              <w:jc w:val="center"/>
              <w:rPr>
                <w:rFonts w:ascii="Times New Roman" w:hAnsi="Times New Roman" w:cs="Garamond"/>
                <w:b w:val="false"/>
                <w:bCs w:val="false"/>
                <w:color w:val="auto"/>
                <w:sz w:val="24"/>
                <w:szCs w:val="24"/>
                <w:u w:val="single"/>
              </w:rPr>
            </w:pPr>
            <w:r>
              <w:rPr>
                <w:rFonts w:cs="Garamond"/>
                <w:b w:val="false"/>
                <w:bCs w:val="false"/>
                <w:color w:val="auto"/>
                <w:sz w:val="24"/>
                <w:szCs w:val="24"/>
                <w:u w:val="single"/>
              </w:rPr>
            </w:r>
          </w:p>
          <w:p>
            <w:pPr>
              <w:pStyle w:val="Normal"/>
              <w:tabs>
                <w:tab w:val="clear" w:pos="708"/>
                <w:tab w:val="left" w:pos="1306" w:leader="none"/>
              </w:tabs>
              <w:jc w:val="center"/>
              <w:rPr>
                <w:rFonts w:ascii="Times New Roman" w:hAnsi="Times New Roman" w:cs="Garamond"/>
                <w:b w:val="false"/>
                <w:bCs w:val="false"/>
                <w:color w:val="auto"/>
                <w:sz w:val="24"/>
                <w:szCs w:val="24"/>
                <w:u w:val="single"/>
              </w:rPr>
            </w:pPr>
            <w:r>
              <w:rPr>
                <w:rFonts w:cs="Garamond"/>
                <w:b w:val="false"/>
                <w:bCs w:val="false"/>
                <w:color w:val="auto"/>
                <w:sz w:val="24"/>
                <w:szCs w:val="24"/>
                <w:u w:val="single"/>
              </w:rPr>
              <w:t>min. 2 lata gwarancji mechanicznej bez limitu kilometrów</w:t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2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tabs>
                <w:tab w:val="clear" w:pos="708"/>
                <w:tab w:val="left" w:pos="1306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Garamond"/>
                <w:b w:val="false"/>
                <w:bCs w:val="false"/>
                <w:color w:val="auto"/>
                <w:kern w:val="0"/>
                <w:sz w:val="24"/>
                <w:szCs w:val="24"/>
                <w:u w:val="single"/>
                <w:lang w:val="pl-PL" w:eastAsia="zh-CN" w:bidi="ar-SA"/>
              </w:rPr>
            </w:pPr>
            <w:r>
              <w:rPr>
                <w:rFonts w:eastAsia="Calibri" w:cs="Garamond"/>
                <w:b w:val="false"/>
                <w:bCs w:val="false"/>
                <w:color w:val="auto"/>
                <w:kern w:val="0"/>
                <w:sz w:val="24"/>
                <w:szCs w:val="24"/>
                <w:u w:val="single"/>
                <w:lang w:val="pl-PL" w:eastAsia="zh-CN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1306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Garamond"/>
                <w:b w:val="false"/>
                <w:bCs w:val="false"/>
                <w:color w:val="auto"/>
                <w:kern w:val="0"/>
                <w:sz w:val="24"/>
                <w:szCs w:val="24"/>
                <w:u w:val="single"/>
                <w:lang w:val="pl-PL" w:eastAsia="zh-CN" w:bidi="ar-SA"/>
              </w:rPr>
            </w:pPr>
            <w:r>
              <w:rPr>
                <w:rFonts w:eastAsia="Calibri" w:cs="Garamond"/>
                <w:b w:val="false"/>
                <w:bCs w:val="false"/>
                <w:color w:val="auto"/>
                <w:kern w:val="0"/>
                <w:sz w:val="24"/>
                <w:szCs w:val="24"/>
                <w:u w:val="single"/>
                <w:lang w:val="pl-PL" w:eastAsia="zh-CN" w:bidi="ar-SA"/>
              </w:rPr>
              <w:t>min. 2 lata gwarancji na powłokę lakierniczą,</w:t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3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tabs>
                <w:tab w:val="clear" w:pos="708"/>
                <w:tab w:val="left" w:pos="1306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Garamond"/>
                <w:b w:val="false"/>
                <w:bCs w:val="false"/>
                <w:color w:val="auto"/>
                <w:kern w:val="0"/>
                <w:sz w:val="24"/>
                <w:szCs w:val="24"/>
                <w:u w:val="single"/>
                <w:lang w:val="pl-PL" w:eastAsia="zh-CN" w:bidi="ar-SA"/>
              </w:rPr>
            </w:pPr>
            <w:r>
              <w:rPr>
                <w:rFonts w:eastAsia="Calibri" w:cs="Garamond"/>
                <w:b w:val="false"/>
                <w:bCs w:val="false"/>
                <w:color w:val="auto"/>
                <w:kern w:val="0"/>
                <w:sz w:val="24"/>
                <w:szCs w:val="24"/>
                <w:u w:val="single"/>
                <w:lang w:val="pl-PL" w:eastAsia="zh-CN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1306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Garamond"/>
                <w:b w:val="false"/>
                <w:bCs w:val="false"/>
                <w:color w:val="auto"/>
                <w:kern w:val="0"/>
                <w:sz w:val="24"/>
                <w:szCs w:val="24"/>
                <w:u w:val="single"/>
                <w:lang w:val="pl-PL" w:eastAsia="zh-CN" w:bidi="ar-SA"/>
              </w:rPr>
            </w:pPr>
            <w:r>
              <w:rPr>
                <w:rFonts w:eastAsia="Calibri" w:cs="Garamond"/>
                <w:b w:val="false"/>
                <w:bCs w:val="false"/>
                <w:color w:val="auto"/>
                <w:kern w:val="0"/>
                <w:sz w:val="24"/>
                <w:szCs w:val="24"/>
                <w:u w:val="single"/>
                <w:lang w:val="pl-PL" w:eastAsia="zh-CN" w:bidi="ar-SA"/>
              </w:rPr>
              <w:t>min. 12 lat gwarancji na perforację nadwozia</w:t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  <w:tr>
        <w:trPr>
          <w:trHeight w:val="317" w:hRule="atLeast"/>
        </w:trPr>
        <w:tc>
          <w:tcPr>
            <w:tcW w:w="7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</w:pPr>
            <w:r>
              <w:rPr>
                <w:rFonts w:eastAsia="Calibri" w:cs="Arial"/>
                <w:b w:val="false"/>
                <w:bCs w:val="false"/>
                <w:kern w:val="0"/>
                <w:sz w:val="24"/>
                <w:szCs w:val="24"/>
                <w:lang w:val="pl-PL" w:eastAsia="en-US" w:bidi="ar-SA"/>
              </w:rPr>
              <w:t>4</w:t>
            </w:r>
          </w:p>
        </w:tc>
        <w:tc>
          <w:tcPr>
            <w:tcW w:w="72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widowControl/>
              <w:tabs>
                <w:tab w:val="clear" w:pos="708"/>
                <w:tab w:val="left" w:pos="1306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eastAsia="Calibri" w:cs="Garamond"/>
                <w:b w:val="false"/>
                <w:bCs w:val="false"/>
                <w:kern w:val="0"/>
                <w:lang w:val="pl-PL" w:eastAsia="zh-CN" w:bidi="ar-SA"/>
              </w:rPr>
            </w:pPr>
            <w:r>
              <w:rPr>
                <w:rFonts w:eastAsia="Calibri" w:cs="Garamond"/>
                <w:b w:val="false"/>
                <w:bCs w:val="false"/>
                <w:kern w:val="0"/>
                <w:lang w:val="pl-PL" w:eastAsia="zh-CN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1306" w:leader="none"/>
              </w:tabs>
              <w:suppressAutoHyphens w:val="true"/>
              <w:bidi w:val="0"/>
              <w:spacing w:lineRule="auto" w:line="240" w:before="0"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eastAsia="Calibri" w:cs="Garamond"/>
                <w:b w:val="false"/>
                <w:bCs w:val="false"/>
                <w:color w:val="auto"/>
                <w:kern w:val="0"/>
                <w:sz w:val="24"/>
                <w:szCs w:val="24"/>
                <w:lang w:val="pl-PL" w:eastAsia="zh-CN" w:bidi="ar-SA"/>
              </w:rPr>
              <w:t>min. 2 lata gwarancji na wykonaną zabudowę specjalną</w:t>
            </w:r>
          </w:p>
        </w:tc>
        <w:tc>
          <w:tcPr>
            <w:tcW w:w="2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5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8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snapToGrid w:val="false"/>
              <w:rPr>
                <w:rFonts w:ascii="Arial" w:hAnsi="Arial" w:eastAsia="ArialMT" w:cs="Arial"/>
                <w:color w:val="000000"/>
                <w:sz w:val="20"/>
                <w:szCs w:val="20"/>
              </w:rPr>
            </w:pPr>
            <w:r>
              <w:rPr>
                <w:rFonts w:eastAsia="ArialMT" w:cs="Arial" w:ascii="Arial" w:hAnsi="Arial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tabs>
          <w:tab w:val="clear" w:pos="708"/>
          <w:tab w:val="left" w:pos="1306" w:leader="none"/>
        </w:tabs>
        <w:rPr>
          <w:rFonts w:ascii="Arial" w:hAnsi="Arial" w:cs="Arial"/>
          <w:color w:val="FF0000"/>
          <w:sz w:val="20"/>
          <w:szCs w:val="20"/>
        </w:rPr>
      </w:pPr>
      <w:r>
        <w:rPr>
          <w:rFonts w:cs="Arial" w:ascii="Arial" w:hAnsi="Arial"/>
          <w:color w:val="FF0000"/>
          <w:sz w:val="20"/>
          <w:szCs w:val="20"/>
        </w:rPr>
      </w:r>
    </w:p>
    <w:p>
      <w:pPr>
        <w:pStyle w:val="Normal"/>
        <w:tabs>
          <w:tab w:val="clear" w:pos="708"/>
          <w:tab w:val="left" w:pos="1306" w:leader="none"/>
        </w:tabs>
        <w:jc w:val="center"/>
        <w:rPr>
          <w:rFonts w:ascii="Garamond" w:hAnsi="Garamond" w:cs="Garamond"/>
          <w:b/>
          <w:color w:val="FF0000"/>
          <w:sz w:val="28"/>
          <w:szCs w:val="28"/>
        </w:rPr>
      </w:pPr>
      <w:r>
        <w:rPr>
          <w:rFonts w:cs="Garamond" w:ascii="Garamond" w:hAnsi="Garamond"/>
          <w:b/>
          <w:color w:val="FF0000"/>
          <w:sz w:val="28"/>
          <w:szCs w:val="28"/>
        </w:rPr>
      </w:r>
    </w:p>
    <w:p>
      <w:pPr>
        <w:pStyle w:val="Normal"/>
        <w:tabs>
          <w:tab w:val="clear" w:pos="708"/>
          <w:tab w:val="left" w:pos="1306" w:leader="none"/>
        </w:tabs>
        <w:jc w:val="center"/>
        <w:rPr>
          <w:rFonts w:ascii="Garamond" w:hAnsi="Garamond" w:cs="Garamond"/>
          <w:b/>
          <w:sz w:val="28"/>
          <w:szCs w:val="28"/>
        </w:rPr>
      </w:pPr>
      <w:r>
        <w:rPr>
          <w:rFonts w:cs="Garamond" w:ascii="Garamond" w:hAnsi="Garamond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1306" w:leader="none"/>
        </w:tabs>
        <w:jc w:val="center"/>
        <w:rPr>
          <w:rFonts w:ascii="Times New Roman" w:hAnsi="Times New Roman" w:cs="Garamond"/>
          <w:b/>
          <w:color w:val="FF0000"/>
          <w:sz w:val="20"/>
          <w:szCs w:val="20"/>
        </w:rPr>
      </w:pPr>
      <w:r>
        <w:rPr>
          <w:rFonts w:cs="Garamond"/>
          <w:b/>
          <w:color w:val="FF0000"/>
          <w:sz w:val="20"/>
          <w:szCs w:val="20"/>
        </w:rPr>
      </w:r>
    </w:p>
    <w:p>
      <w:pPr>
        <w:pStyle w:val="Normal"/>
        <w:tabs>
          <w:tab w:val="clear" w:pos="708"/>
          <w:tab w:val="left" w:pos="1306" w:leader="none"/>
        </w:tabs>
        <w:rPr>
          <w:rFonts w:ascii="Garamond" w:hAnsi="Garamond" w:cs="Garamond"/>
          <w:b/>
          <w:color w:val="FF0000"/>
          <w:sz w:val="20"/>
          <w:szCs w:val="20"/>
        </w:rPr>
      </w:pPr>
      <w:r>
        <w:rPr>
          <w:rFonts w:cs="Garamond" w:ascii="Garamond" w:hAnsi="Garamond"/>
          <w:b/>
          <w:color w:val="FF0000"/>
          <w:sz w:val="20"/>
          <w:szCs w:val="20"/>
        </w:rPr>
      </w:r>
    </w:p>
    <w:p>
      <w:pPr>
        <w:pStyle w:val="Normal"/>
        <w:tabs>
          <w:tab w:val="clear" w:pos="708"/>
          <w:tab w:val="left" w:pos="1306" w:leader="none"/>
        </w:tabs>
        <w:rPr>
          <w:rFonts w:ascii="Garamond" w:hAnsi="Garamond" w:cs="Garamond"/>
          <w:b/>
          <w:color w:val="FF0000"/>
          <w:sz w:val="20"/>
          <w:szCs w:val="20"/>
        </w:rPr>
      </w:pPr>
      <w:r>
        <w:rPr>
          <w:rFonts w:cs="Garamond" w:ascii="Garamond" w:hAnsi="Garamond"/>
          <w:b/>
          <w:color w:val="FF0000"/>
          <w:sz w:val="20"/>
          <w:szCs w:val="20"/>
        </w:rPr>
      </w:r>
    </w:p>
    <w:p>
      <w:pPr>
        <w:pStyle w:val="Normal"/>
        <w:rPr>
          <w:rFonts w:ascii="Garamond" w:hAnsi="Garamond" w:eastAsia="Garamond" w:cs="Garamond"/>
          <w:sz w:val="20"/>
          <w:szCs w:val="20"/>
        </w:rPr>
      </w:pPr>
      <w:r>
        <w:rPr>
          <w:rFonts w:eastAsia="Garamond" w:cs="Garamond" w:ascii="Garamond" w:hAnsi="Garamond"/>
          <w:sz w:val="20"/>
          <w:szCs w:val="20"/>
        </w:rPr>
        <w:t xml:space="preserve">   </w:t>
      </w:r>
    </w:p>
    <w:p>
      <w:pPr>
        <w:pStyle w:val="Normal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 xml:space="preserve">/miejscowość i data  /                                                                                                                                                                              </w:t>
      </w:r>
    </w:p>
    <w:p>
      <w:pPr>
        <w:pStyle w:val="Normal"/>
        <w:jc w:val="right"/>
        <w:rPr>
          <w:rFonts w:ascii="Arial" w:hAnsi="Arial" w:eastAsia="Arial" w:cs="Arial"/>
          <w:sz w:val="16"/>
          <w:szCs w:val="16"/>
        </w:rPr>
      </w:pPr>
      <w:r>
        <w:rPr>
          <w:rFonts w:eastAsia="Arial" w:cs="Arial" w:ascii="Arial" w:hAnsi="Arial"/>
          <w:sz w:val="16"/>
          <w:szCs w:val="16"/>
        </w:rPr>
        <w:t xml:space="preserve">                     </w:t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>
          <w:rFonts w:eastAsia="Arial"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sz w:val="16"/>
          <w:szCs w:val="16"/>
        </w:rPr>
        <w:tab/>
        <w:tab/>
        <w:tab/>
        <w:tab/>
        <w:tab/>
        <w:tab/>
      </w:r>
      <w:r>
        <w:rPr>
          <w:rFonts w:cs="Arial" w:ascii="Arial" w:hAnsi="Arial"/>
          <w:i/>
          <w:sz w:val="16"/>
          <w:szCs w:val="16"/>
        </w:rPr>
        <w:t xml:space="preserve">                     </w:t>
      </w:r>
    </w:p>
    <w:p>
      <w:pPr>
        <w:pStyle w:val="Normal"/>
        <w:jc w:val="center"/>
        <w:rPr/>
      </w:pPr>
      <w:r>
        <w:rPr/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cs="Arial"/>
          <w:b/>
          <w:bCs/>
          <w:i/>
          <w:iCs/>
          <w:sz w:val="22"/>
          <w:szCs w:val="22"/>
          <w:highlight w:val="white"/>
        </w:rPr>
      </w:pPr>
      <w:r>
        <w:rPr>
          <w:rFonts w:cs="Arial" w:ascii="Arial" w:hAnsi="Arial"/>
          <w:b/>
          <w:bCs/>
          <w:i/>
          <w:iCs/>
          <w:sz w:val="22"/>
          <w:szCs w:val="22"/>
          <w:shd w:fill="FFFFFF" w:val="clear"/>
        </w:rPr>
        <w:t xml:space="preserve">UWAGA: formularz należy podpisać kwalifikowanym podpisem elektronicznym, podpisem zaufanym lub podpisem osobistym </w:t>
      </w:r>
    </w:p>
    <w:p>
      <w:pPr>
        <w:pStyle w:val="Standard"/>
        <w:tabs>
          <w:tab w:val="clear" w:pos="708"/>
          <w:tab w:val="left" w:pos="360" w:leader="none"/>
        </w:tabs>
        <w:jc w:val="center"/>
        <w:rPr>
          <w:rFonts w:ascii="Arial" w:hAnsi="Arial" w:cs="Arial"/>
          <w:b/>
          <w:bCs/>
          <w:i/>
          <w:iCs/>
          <w:sz w:val="22"/>
          <w:szCs w:val="22"/>
          <w:highlight w:val="white"/>
        </w:rPr>
      </w:pPr>
      <w:r>
        <w:rPr>
          <w:rFonts w:cs="Arial" w:ascii="Arial" w:hAnsi="Arial"/>
          <w:b/>
          <w:bCs/>
          <w:i/>
          <w:iCs/>
          <w:sz w:val="22"/>
          <w:szCs w:val="22"/>
          <w:shd w:fill="FFFFFF" w:val="clear"/>
        </w:rPr>
        <w:t>osoby uprawnionej do reprezentacji Wykonawcy</w:t>
      </w:r>
    </w:p>
    <w:p>
      <w:pPr>
        <w:pStyle w:val="Normal"/>
        <w:tabs>
          <w:tab w:val="clear" w:pos="708"/>
          <w:tab w:val="left" w:pos="360" w:leader="none"/>
        </w:tabs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mplitudePl Book">
    <w:charset w:val="ee"/>
    <w:family w:val="roman"/>
    <w:pitch w:val="variable"/>
  </w:font>
  <w:font w:name="AmplitudeCE Book">
    <w:charset w:val="ee"/>
    <w:family w:val="roman"/>
    <w:pitch w:val="variable"/>
  </w:font>
  <w:font w:name="Garamond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0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Heading2">
    <w:name w:val="heading 2"/>
    <w:basedOn w:val="Normal"/>
    <w:next w:val="Normal"/>
    <w:qFormat/>
    <w:pPr>
      <w:keepNext w:val="true"/>
      <w:outlineLvl w:val="1"/>
    </w:pPr>
    <w:rPr>
      <w:i/>
      <w:iCs/>
      <w:sz w:val="20"/>
      <w:szCs w:val="22"/>
      <w:lang w:val="pl-PL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cs="Symbol"/>
      <w:color w:val="000000"/>
      <w:sz w:val="20"/>
      <w:szCs w:val="20"/>
    </w:rPr>
  </w:style>
  <w:style w:type="character" w:styleId="WW8Num3z0">
    <w:name w:val="WW8Num3z0"/>
    <w:qFormat/>
    <w:rPr>
      <w:rFonts w:ascii="Symbol" w:hAnsi="Symbol" w:cs="Symbol"/>
      <w:spacing w:val="-1"/>
      <w:sz w:val="20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4z0">
    <w:name w:val="WW8Num4z0"/>
    <w:qFormat/>
    <w:rPr>
      <w:rFonts w:ascii="Arial" w:hAnsi="Arial" w:cs="Arial"/>
      <w:b/>
    </w:rPr>
  </w:style>
  <w:style w:type="character" w:styleId="WW8Num5z0">
    <w:name w:val="WW8Num5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10z0">
    <w:name w:val="WW8Num10z0"/>
    <w:qFormat/>
    <w:rPr>
      <w:rFonts w:ascii="Wingdings" w:hAnsi="Wingdings" w:cs="Wingdings"/>
      <w:sz w:val="20"/>
      <w:szCs w:val="20"/>
    </w:rPr>
  </w:style>
  <w:style w:type="character" w:styleId="WW8Num11z0">
    <w:name w:val="WW8Num11z0"/>
    <w:qFormat/>
    <w:rPr>
      <w:rFonts w:ascii="Symbol" w:hAnsi="Symbol" w:cs="Symbol"/>
    </w:rPr>
  </w:style>
  <w:style w:type="character" w:styleId="WW8Num11z1">
    <w:name w:val="WW8Num11z1"/>
    <w:qFormat/>
    <w:rPr>
      <w:rFonts w:ascii="Courier New" w:hAnsi="Courier New" w:cs="Courier New"/>
    </w:rPr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0">
    <w:name w:val="WW8Num13z0"/>
    <w:qFormat/>
    <w:rPr>
      <w:rFonts w:ascii="Symbol" w:hAnsi="Symbol" w:cs="Symbol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4z0">
    <w:name w:val="WW8Num14z0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6z0">
    <w:name w:val="WW8Num16z0"/>
    <w:qFormat/>
    <w:rPr>
      <w:rFonts w:ascii="Wingdings" w:hAnsi="Wingdings" w:cs="Wingdings"/>
      <w:sz w:val="20"/>
      <w:szCs w:val="20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0">
    <w:name w:val="WW8Num17z0"/>
    <w:qFormat/>
    <w:rPr>
      <w:rFonts w:ascii="Symbol" w:hAnsi="Symbol" w:cs="Symbol"/>
    </w:rPr>
  </w:style>
  <w:style w:type="character" w:styleId="WW8Num17z1">
    <w:name w:val="WW8Num17z1"/>
    <w:qFormat/>
    <w:rPr>
      <w:rFonts w:ascii="Courier New" w:hAnsi="Courier New" w:cs="Courier New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8z0">
    <w:name w:val="WW8Num18z0"/>
    <w:qFormat/>
    <w:rPr>
      <w:rFonts w:ascii="Wingdings" w:hAnsi="Wingdings" w:eastAsia="Times New Roman" w:cs="Times New Roman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19z0">
    <w:name w:val="WW8Num19z0"/>
    <w:qFormat/>
    <w:rPr>
      <w:rFonts w:ascii="Wingdings" w:hAnsi="Wingdings" w:eastAsia="Times New Roman" w:cs="Times New Roman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3">
    <w:name w:val="WW8Num19z3"/>
    <w:qFormat/>
    <w:rPr>
      <w:rFonts w:ascii="Symbol" w:hAnsi="Symbol" w:cs="Symbol"/>
    </w:rPr>
  </w:style>
  <w:style w:type="character" w:styleId="WW8Num20z0">
    <w:name w:val="WW8Num20z0"/>
    <w:qFormat/>
    <w:rPr/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>
      <w:rFonts w:ascii="Symbol" w:hAnsi="Symbol" w:cs="Symbol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2z0">
    <w:name w:val="WW8Num22z0"/>
    <w:qFormat/>
    <w:rPr>
      <w:rFonts w:ascii="Symbol" w:hAnsi="Symbol" w:cs="Symbol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3z0">
    <w:name w:val="WW8Num23z0"/>
    <w:qFormat/>
    <w:rPr/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Domylnaczcionkaakapitu">
    <w:name w:val="Domyślna czcionka akapitu"/>
    <w:qFormat/>
    <w:rPr/>
  </w:style>
  <w:style w:type="character" w:styleId="FontStyle52">
    <w:name w:val="Font Style52"/>
    <w:qFormat/>
    <w:rPr>
      <w:rFonts w:ascii="Arial" w:hAnsi="Arial" w:cs="Arial"/>
      <w:sz w:val="20"/>
      <w:szCs w:val="20"/>
    </w:rPr>
  </w:style>
  <w:style w:type="character" w:styleId="Strong">
    <w:name w:val="Strong"/>
    <w:qFormat/>
    <w:rPr>
      <w:b/>
      <w:bCs/>
    </w:rPr>
  </w:style>
  <w:style w:type="character" w:styleId="A4">
    <w:name w:val="A4"/>
    <w:qFormat/>
    <w:rPr>
      <w:rFonts w:cs="AmplitudePl Book"/>
      <w:color w:val="000000"/>
      <w:sz w:val="20"/>
      <w:szCs w:val="20"/>
    </w:rPr>
  </w:style>
  <w:style w:type="character" w:styleId="A8">
    <w:name w:val="A8"/>
    <w:qFormat/>
    <w:rPr>
      <w:rFonts w:cs="AmplitudeCE Book"/>
      <w:color w:val="000000"/>
      <w:sz w:val="16"/>
      <w:szCs w:val="16"/>
    </w:rPr>
  </w:style>
  <w:style w:type="character" w:styleId="Nagwek2Znak">
    <w:name w:val="Nagłówek 2 Znak"/>
    <w:qFormat/>
    <w:rPr>
      <w:rFonts w:eastAsia="Times New Roman"/>
      <w:i/>
      <w:iCs/>
      <w:szCs w:val="22"/>
    </w:rPr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ascii="Calibri" w:hAnsi="Calibri" w:cs="Calibri"/>
      <w:lang w:val="pl-PL"/>
    </w:rPr>
  </w:style>
  <w:style w:type="character" w:styleId="TekstdymkaZnak">
    <w:name w:val="Tekst dymka Znak"/>
    <w:qFormat/>
    <w:rPr>
      <w:rFonts w:ascii="Tahoma" w:hAnsi="Tahoma" w:eastAsia="Times New Roman" w:cs="Tahoma"/>
      <w:sz w:val="16"/>
      <w:szCs w:val="1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kapitzlist">
    <w:name w:val="Akapit z listą"/>
    <w:basedOn w:val="Normal"/>
    <w:qFormat/>
    <w:pPr>
      <w:suppressAutoHyphens w:val="true"/>
      <w:spacing w:lineRule="atLeast" w:line="360"/>
      <w:ind w:hanging="0" w:left="720" w:right="0"/>
      <w:jc w:val="both"/>
      <w:textAlignment w:val="baseline"/>
    </w:pPr>
    <w:rPr>
      <w:szCs w:val="20"/>
    </w:rPr>
  </w:style>
  <w:style w:type="paragraph" w:styleId="Skrconyadreszwrotny">
    <w:name w:val="Skrócony adres zwrotny"/>
    <w:basedOn w:val="Normal"/>
    <w:qFormat/>
    <w:pPr/>
    <w:rPr>
      <w:szCs w:val="20"/>
    </w:rPr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mplitudePl Book" w:hAnsi="AmplitudePl Book" w:eastAsia="Calibri" w:cs="AmplitudePl Book"/>
      <w:color w:val="000000"/>
      <w:kern w:val="0"/>
      <w:sz w:val="24"/>
      <w:szCs w:val="24"/>
      <w:lang w:val="pl-PL" w:eastAsia="zh-CN" w:bidi="ar-SA"/>
    </w:rPr>
  </w:style>
  <w:style w:type="paragraph" w:styleId="Pa0">
    <w:name w:val="Pa0"/>
    <w:basedOn w:val="Default"/>
    <w:next w:val="Default"/>
    <w:qFormat/>
    <w:pPr>
      <w:spacing w:lineRule="atLeast" w:line="241"/>
    </w:pPr>
    <w:rPr>
      <w:rFonts w:ascii="AmplitudeCE Book" w:hAnsi="AmplitudeCE Book" w:eastAsia="Calibri" w:cs="Times New Roman"/>
      <w:color w:val="000000"/>
    </w:rPr>
  </w:style>
  <w:style w:type="paragraph" w:styleId="Tekstkomentarza">
    <w:name w:val="Tekst komentarza"/>
    <w:basedOn w:val="Normal"/>
    <w:qFormat/>
    <w:pPr>
      <w:spacing w:lineRule="auto" w:line="276" w:before="0" w:after="200"/>
    </w:pPr>
    <w:rPr>
      <w:rFonts w:ascii="Calibri" w:hAnsi="Calibri" w:eastAsia="Calibri" w:cs="Calibri"/>
      <w:sz w:val="20"/>
      <w:szCs w:val="20"/>
      <w:lang w:val="pl-PL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pl-PL" w:eastAsia="zh-CN" w:bidi="hi-IN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Application>LibreOffice/25.8.4.2$Windows_X86_64 LibreOffice_project/290daaa01b999472f0c7a3890eb6a550fd74c6df</Application>
  <AppVersion>15.0000</AppVersion>
  <Pages>3</Pages>
  <Words>319</Words>
  <Characters>1879</Characters>
  <CharactersWithSpaces>2398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2021-03-17T04:54:00Z</dcterms:created>
  <dc:creator>user</dc:creator>
  <dc:description/>
  <dc:language>pl-PL</dc:language>
  <cp:lastModifiedBy/>
  <cp:lastPrinted>2026-03-02T14:47:55Z</cp:lastPrinted>
  <dcterms:modified xsi:type="dcterms:W3CDTF">2026-03-02T14:49:09Z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